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1F" w:rsidRPr="00DA271F" w:rsidRDefault="00DA271F" w:rsidP="00DA271F">
      <w:pPr>
        <w:shd w:val="clear" w:color="auto" w:fill="EEEEEE"/>
        <w:spacing w:after="60" w:line="324" w:lineRule="atLeast"/>
        <w:outlineLvl w:val="0"/>
        <w:rPr>
          <w:rFonts w:ascii="Arial" w:eastAsia="Times New Roman" w:hAnsi="Arial" w:cs="Arial"/>
          <w:b/>
          <w:bCs/>
          <w:color w:val="131313"/>
          <w:kern w:val="36"/>
          <w:sz w:val="30"/>
          <w:szCs w:val="30"/>
          <w:lang w:eastAsia="ru-RU"/>
        </w:rPr>
      </w:pPr>
      <w:r w:rsidRPr="00DA271F">
        <w:rPr>
          <w:rFonts w:ascii="Arial" w:eastAsia="Times New Roman" w:hAnsi="Arial" w:cs="Arial"/>
          <w:b/>
          <w:bCs/>
          <w:color w:val="131313"/>
          <w:kern w:val="36"/>
          <w:sz w:val="30"/>
          <w:szCs w:val="30"/>
          <w:lang w:eastAsia="ru-RU"/>
        </w:rPr>
        <w:t>Часто задаваемые вопросы</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b/>
          <w:bCs/>
          <w:color w:val="2B2B2B"/>
          <w:sz w:val="21"/>
          <w:szCs w:val="21"/>
          <w:lang w:eastAsia="ru-RU"/>
        </w:rPr>
        <w:t>Какие действия можно назвать «коррупцией»?</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Частью 1 ст. 1 Федерального закона «О противодействии коррупции» от 25.12.2008 № 273-ФЗ установлено, что коррупция — это:</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б) совершение деяний, указанных в подпункте «а» настоящего пункта, от имени или в интересах юридического лица.</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b/>
          <w:bCs/>
          <w:color w:val="2B2B2B"/>
          <w:sz w:val="21"/>
          <w:szCs w:val="21"/>
          <w:lang w:eastAsia="ru-RU"/>
        </w:rPr>
        <w:t>Что такое «противодействие коррупции»?</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в) по минимизации и (или) ликвидации последствий коррупционных правонарушений.</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b/>
          <w:bCs/>
          <w:color w:val="2B2B2B"/>
          <w:sz w:val="21"/>
          <w:szCs w:val="21"/>
          <w:lang w:eastAsia="ru-RU"/>
        </w:rPr>
        <w:t>Какие государственные органы наделены полномочиями по борьбе с коррупцией?</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 xml:space="preserve">Выявление, пресечение, предупреждение коррупционных правонарушений (преступлений) и привлечение лиц, виновных в их совершении, к ответственности в пределах своей компетенции </w:t>
      </w:r>
      <w:r w:rsidRPr="00DA271F">
        <w:rPr>
          <w:rFonts w:ascii="Lora" w:eastAsia="Times New Roman" w:hAnsi="Lora" w:cs="Times New Roman"/>
          <w:color w:val="2B2B2B"/>
          <w:sz w:val="21"/>
          <w:szCs w:val="21"/>
          <w:lang w:eastAsia="ru-RU"/>
        </w:rPr>
        <w:lastRenderedPageBreak/>
        <w:t>осуществляется органами прокуратуры, государственной безопасности, внутренних дел, таможенной службы.</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b/>
          <w:bCs/>
          <w:color w:val="2B2B2B"/>
          <w:sz w:val="21"/>
          <w:szCs w:val="21"/>
          <w:lang w:eastAsia="ru-RU"/>
        </w:rPr>
        <w:t>Что может выступать предметом взятки?</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(Постановление Пленума Верховного Суда РФ от 10.02.2000 № 6 (ред. от 06.02.2007) «О судебной практике по делам о взяточничестве и коммерческом подкупе».)</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b/>
          <w:bCs/>
          <w:color w:val="2B2B2B"/>
          <w:sz w:val="21"/>
          <w:szCs w:val="21"/>
          <w:lang w:eastAsia="ru-RU"/>
        </w:rPr>
        <w:t>Какие действия можно считать вымогательством взятки?</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 xml:space="preserve">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DA271F">
        <w:rPr>
          <w:rFonts w:ascii="Lora" w:eastAsia="Times New Roman" w:hAnsi="Lora" w:cs="Times New Roman"/>
          <w:color w:val="2B2B2B"/>
          <w:sz w:val="21"/>
          <w:szCs w:val="21"/>
          <w:lang w:eastAsia="ru-RU"/>
        </w:rPr>
        <w:t>правоохраняемых</w:t>
      </w:r>
      <w:proofErr w:type="spellEnd"/>
      <w:r w:rsidRPr="00DA271F">
        <w:rPr>
          <w:rFonts w:ascii="Lora" w:eastAsia="Times New Roman" w:hAnsi="Lora" w:cs="Times New Roman"/>
          <w:color w:val="2B2B2B"/>
          <w:sz w:val="21"/>
          <w:szCs w:val="21"/>
          <w:lang w:eastAsia="ru-RU"/>
        </w:rPr>
        <w:t xml:space="preserve"> интересов. (Постановление Пленума Верховного Суда РФ от 10.02.2000 № 6 (ред. от 06.02.2007) «О судебной практике по делам о взяточничестве и коммерческом подкупе».)</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b/>
          <w:bCs/>
          <w:color w:val="2B2B2B"/>
          <w:sz w:val="21"/>
          <w:szCs w:val="21"/>
          <w:lang w:eastAsia="ru-RU"/>
        </w:rPr>
        <w:t>Может ли быть привлечён к уголовной ответственности посредник во взяточничестве?</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Да, может. 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 предусмотренных статьей 33 Уголовного кодекса РФ.</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b/>
          <w:bCs/>
          <w:color w:val="2B2B2B"/>
          <w:sz w:val="21"/>
          <w:szCs w:val="21"/>
          <w:lang w:eastAsia="ru-RU"/>
        </w:rPr>
        <w:t>Каков уровень ответственности лица, сообщившего о факте коррупции, если этот факт не будет доказан?</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lastRenderedPageBreak/>
        <w:t>Лицо, сообщившее </w:t>
      </w:r>
      <w:r w:rsidRPr="00DA271F">
        <w:rPr>
          <w:rFonts w:ascii="Lora" w:eastAsia="Times New Roman" w:hAnsi="Lora" w:cs="Times New Roman"/>
          <w:b/>
          <w:bCs/>
          <w:color w:val="2B2B2B"/>
          <w:sz w:val="21"/>
          <w:szCs w:val="21"/>
          <w:lang w:eastAsia="ru-RU"/>
        </w:rPr>
        <w:t>заведомо ложные сведения</w:t>
      </w:r>
      <w:r w:rsidRPr="00DA271F">
        <w:rPr>
          <w:rFonts w:ascii="Lora" w:eastAsia="Times New Roman" w:hAnsi="Lora" w:cs="Times New Roman"/>
          <w:color w:val="2B2B2B"/>
          <w:sz w:val="21"/>
          <w:szCs w:val="21"/>
          <w:lang w:eastAsia="ru-RU"/>
        </w:rPr>
        <w:t>, порочащие честь и достоинство другого лица или подрывающие его репутацию может быть привлечено к уголовной ответственности по статье 129 «Клевета» Уголовного кодекса РФ.</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b/>
          <w:bCs/>
          <w:color w:val="2B2B2B"/>
          <w:sz w:val="21"/>
          <w:szCs w:val="21"/>
          <w:lang w:eastAsia="ru-RU"/>
        </w:rPr>
        <w:t>В каких случаях взяткодатель может быть освобождён от уголовной ответственности?</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(Примечание к ст. 291 Уголовного кодекса РФ).</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b/>
          <w:bCs/>
          <w:color w:val="2B2B2B"/>
          <w:sz w:val="21"/>
          <w:szCs w:val="21"/>
          <w:lang w:eastAsia="ru-RU"/>
        </w:rPr>
        <w:t>Возвращаются ли взяткодателю денежные средства и иные ценности, ставшие предметом взятки?</w:t>
      </w:r>
    </w:p>
    <w:p w:rsidR="00DA271F" w:rsidRPr="00DA271F" w:rsidRDefault="00DA271F" w:rsidP="00DA271F">
      <w:pPr>
        <w:shd w:val="clear" w:color="auto" w:fill="EEEEEE"/>
        <w:spacing w:before="240" w:after="0" w:line="480" w:lineRule="atLeast"/>
        <w:rPr>
          <w:rFonts w:ascii="Lora" w:eastAsia="Times New Roman" w:hAnsi="Lora" w:cs="Times New Roman"/>
          <w:color w:val="2B2B2B"/>
          <w:sz w:val="21"/>
          <w:szCs w:val="21"/>
          <w:lang w:eastAsia="ru-RU"/>
        </w:rPr>
      </w:pPr>
      <w:r w:rsidRPr="00DA271F">
        <w:rPr>
          <w:rFonts w:ascii="Lora" w:eastAsia="Times New Roman" w:hAnsi="Lora" w:cs="Times New Roman"/>
          <w:color w:val="2B2B2B"/>
          <w:sz w:val="21"/>
          <w:szCs w:val="21"/>
          <w:lang w:eastAsia="ru-RU"/>
        </w:rPr>
        <w:t>Изъятые деньги и другие ценности, являющиеся предметом взятки или коммерческого подкупа и признанные вещественными доказательствами, подлежат обращению в доход государства на основании пункта 4 части третьей статьи 81 УПК РФ как нажитые преступным путем. Освобождение взяткодателя либо лица, совершившего коммерческий подкуп,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 Поэтому они не могут признаваться потерпевшими и не вправе претендовать на возвращение им ценностей, переданных в виде взятки или предмета коммерческого подкупа. Не могут быть обращены в доход государства деньги и другие ценности в случаях, когда в отношении лица были заявлены требования о даче взятки или о незаконной передаче денег, ценных бумаг, иного имущества в виде коммерческого подкупа, если до передачи этих ценностей лицо добровольно заявило об этом органу, имеющему право возбуждать уголовное дело, и передача денег, ценных бумаг, иного имущества проходила под их контролем с целью задержания с поличным лица, заявившего такие требования. В этих случаях деньги и другие ценности, явившиеся предметом взятки или коммерческого подкупа, подлежат возвращению их владельцу. Если для предотвращения вредных последствий лицо было вынуждено передать вымогателю деньги, другие ценности, то они подлежат возврату их владельцу. (Постановление Пленума Верховного Суда РФ от 10.02.2000 № 6 (ред. от 06.02.2007) «О судебной практике по делам о взяточничестве и коммерческом подкупе».)</w:t>
      </w:r>
    </w:p>
    <w:p w:rsidR="003E7591" w:rsidRDefault="003E7591"/>
    <w:p w:rsidR="00F3220F" w:rsidRDefault="00F3220F"/>
    <w:p w:rsidR="00F3220F" w:rsidRDefault="00F3220F"/>
    <w:p w:rsidR="00F3220F" w:rsidRDefault="00F3220F" w:rsidP="00F3220F">
      <w:pPr>
        <w:pStyle w:val="a3"/>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Антикоррупционное законодательство Российской Федерации: общая характеристика.</w:t>
      </w:r>
    </w:p>
    <w:p w:rsidR="00F3220F" w:rsidRDefault="00F3220F" w:rsidP="00F3220F">
      <w:pPr>
        <w:pStyle w:val="a3"/>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Тема 2. Понятие и содержание коррупции, коррупционных преступлений.</w:t>
      </w:r>
    </w:p>
    <w:p w:rsidR="00F3220F" w:rsidRDefault="00F3220F" w:rsidP="00F3220F">
      <w:pPr>
        <w:pStyle w:val="a3"/>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Тема 3. Уголовные наказания за коррупционные и сопутствующие им преступления.</w:t>
      </w:r>
    </w:p>
    <w:p w:rsidR="00F3220F" w:rsidRDefault="00F3220F" w:rsidP="00F3220F">
      <w:pPr>
        <w:pStyle w:val="a3"/>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Тема 4. Судимость и иные негативные последствия совершения преступлений коррупционной направленности.</w:t>
      </w:r>
    </w:p>
    <w:p w:rsidR="00F3220F" w:rsidRDefault="00F3220F" w:rsidP="00F3220F">
      <w:pPr>
        <w:pStyle w:val="a3"/>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Тема 5. Распространенные виды и способы коррупционных преступлений.</w:t>
      </w:r>
    </w:p>
    <w:p w:rsidR="00F3220F" w:rsidRDefault="00F3220F" w:rsidP="00F3220F">
      <w:pPr>
        <w:pStyle w:val="a3"/>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Тема 6. Профилактика коррупции, антикоррупционная культура и ее функции.</w:t>
      </w:r>
    </w:p>
    <w:p w:rsidR="00F3220F" w:rsidRDefault="00F3220F" w:rsidP="00F3220F">
      <w:pPr>
        <w:pStyle w:val="a3"/>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Тема 7. Защита от клеветы и незаконного обвинения в совершении коррупционного преступления.</w:t>
      </w:r>
    </w:p>
    <w:p w:rsidR="00340B35" w:rsidRPr="00340B35" w:rsidRDefault="00340B35" w:rsidP="00340B35">
      <w:pPr>
        <w:shd w:val="clear" w:color="auto" w:fill="FFFFFF"/>
        <w:spacing w:before="150" w:after="150" w:line="450" w:lineRule="atLeast"/>
        <w:outlineLvl w:val="2"/>
        <w:rPr>
          <w:rFonts w:ascii="MuseoSansCyrl-500" w:eastAsia="Times New Roman" w:hAnsi="MuseoSansCyrl-500" w:cs="Times New Roman"/>
          <w:color w:val="363636"/>
          <w:sz w:val="30"/>
          <w:szCs w:val="30"/>
          <w:lang w:eastAsia="ru-RU"/>
        </w:rPr>
      </w:pPr>
      <w:proofErr w:type="spellStart"/>
      <w:r w:rsidRPr="00340B35">
        <w:rPr>
          <w:rFonts w:ascii="MuseoSansCyrl-500" w:eastAsia="Times New Roman" w:hAnsi="MuseoSansCyrl-500" w:cs="Times New Roman"/>
          <w:b/>
          <w:bCs/>
          <w:color w:val="363636"/>
          <w:sz w:val="30"/>
          <w:szCs w:val="30"/>
          <w:lang w:eastAsia="ru-RU"/>
        </w:rPr>
        <w:t>Tелефон</w:t>
      </w:r>
      <w:proofErr w:type="spellEnd"/>
      <w:r w:rsidRPr="00340B35">
        <w:rPr>
          <w:rFonts w:ascii="MuseoSansCyrl-500" w:eastAsia="Times New Roman" w:hAnsi="MuseoSansCyrl-500" w:cs="Times New Roman"/>
          <w:b/>
          <w:bCs/>
          <w:color w:val="363636"/>
          <w:sz w:val="30"/>
          <w:szCs w:val="30"/>
          <w:lang w:eastAsia="ru-RU"/>
        </w:rPr>
        <w:t xml:space="preserve"> горячей линии по борьбе с коррупцией (812) 576-77-65</w:t>
      </w:r>
    </w:p>
    <w:p w:rsidR="00340B35" w:rsidRPr="00340B35" w:rsidRDefault="00340B35" w:rsidP="00340B35">
      <w:pPr>
        <w:shd w:val="clear" w:color="auto" w:fill="FFFFFF"/>
        <w:spacing w:before="150" w:after="150" w:line="450" w:lineRule="atLeast"/>
        <w:outlineLvl w:val="2"/>
        <w:rPr>
          <w:rFonts w:ascii="MuseoSansCyrl-500" w:eastAsia="Times New Roman" w:hAnsi="MuseoSansCyrl-500" w:cs="Times New Roman"/>
          <w:color w:val="363636"/>
          <w:sz w:val="30"/>
          <w:szCs w:val="30"/>
          <w:lang w:eastAsia="ru-RU"/>
        </w:rPr>
      </w:pPr>
      <w:hyperlink r:id="rId4" w:history="1">
        <w:r w:rsidRPr="00340B35">
          <w:rPr>
            <w:rFonts w:ascii="MuseoSansCyrl-500" w:eastAsia="Times New Roman" w:hAnsi="MuseoSansCyrl-500" w:cs="Times New Roman"/>
            <w:color w:val="3176E9"/>
            <w:sz w:val="30"/>
            <w:szCs w:val="30"/>
            <w:u w:val="single"/>
            <w:lang w:eastAsia="ru-RU"/>
          </w:rPr>
          <w:t>Памятка для населения по противодействию коррупции</w:t>
        </w:r>
      </w:hyperlink>
    </w:p>
    <w:p w:rsidR="00340B35" w:rsidRPr="00340B35" w:rsidRDefault="00340B35" w:rsidP="00340B35">
      <w:pPr>
        <w:shd w:val="clear" w:color="auto" w:fill="FFFFFF"/>
        <w:spacing w:before="150" w:after="150" w:line="450" w:lineRule="atLeast"/>
        <w:outlineLvl w:val="2"/>
        <w:rPr>
          <w:rFonts w:ascii="MuseoSansCyrl-500" w:eastAsia="Times New Roman" w:hAnsi="MuseoSansCyrl-500" w:cs="Times New Roman"/>
          <w:color w:val="363636"/>
          <w:sz w:val="30"/>
          <w:szCs w:val="30"/>
          <w:lang w:eastAsia="ru-RU"/>
        </w:rPr>
      </w:pPr>
      <w:r w:rsidRPr="00340B35">
        <w:rPr>
          <w:rFonts w:ascii="MuseoSansCyrl-500" w:eastAsia="Times New Roman" w:hAnsi="MuseoSansCyrl-500" w:cs="Times New Roman"/>
          <w:b/>
          <w:bCs/>
          <w:color w:val="363636"/>
          <w:sz w:val="30"/>
          <w:szCs w:val="30"/>
          <w:lang w:eastAsia="ru-RU"/>
        </w:rPr>
        <w:t>Антикоррупционная политика правительства Санкт-Петербурга</w:t>
      </w:r>
    </w:p>
    <w:p w:rsidR="00340B35" w:rsidRPr="00340B35" w:rsidRDefault="00340B35" w:rsidP="00340B35">
      <w:pPr>
        <w:shd w:val="clear" w:color="auto" w:fill="FFFFFF"/>
        <w:spacing w:after="150" w:line="240" w:lineRule="auto"/>
        <w:rPr>
          <w:rFonts w:ascii="Arial" w:eastAsia="Times New Roman" w:hAnsi="Arial" w:cs="Arial"/>
          <w:color w:val="5E5E5E"/>
          <w:sz w:val="24"/>
          <w:szCs w:val="24"/>
          <w:lang w:eastAsia="ru-RU"/>
        </w:rPr>
      </w:pPr>
      <w:hyperlink r:id="rId5" w:history="1">
        <w:r w:rsidRPr="00340B35">
          <w:rPr>
            <w:rFonts w:ascii="Arial" w:eastAsia="Times New Roman" w:hAnsi="Arial" w:cs="Arial"/>
            <w:b/>
            <w:bCs/>
            <w:color w:val="3176E9"/>
            <w:sz w:val="24"/>
            <w:szCs w:val="24"/>
            <w:u w:val="single"/>
            <w:lang w:eastAsia="ru-RU"/>
          </w:rPr>
          <w:t>https://www.gov.spb.ru/gov/protivodejstvie-korrupcii/</w:t>
        </w:r>
      </w:hyperlink>
    </w:p>
    <w:p w:rsidR="00340B35" w:rsidRPr="00340B35" w:rsidRDefault="00340B35" w:rsidP="00340B35">
      <w:pPr>
        <w:shd w:val="clear" w:color="auto" w:fill="FFFFFF"/>
        <w:spacing w:before="150" w:after="150" w:line="450" w:lineRule="atLeast"/>
        <w:outlineLvl w:val="2"/>
        <w:rPr>
          <w:rFonts w:ascii="MuseoSansCyrl-500" w:eastAsia="Times New Roman" w:hAnsi="MuseoSansCyrl-500" w:cs="Times New Roman"/>
          <w:color w:val="363636"/>
          <w:sz w:val="30"/>
          <w:szCs w:val="30"/>
          <w:lang w:eastAsia="ru-RU"/>
        </w:rPr>
      </w:pPr>
      <w:r w:rsidRPr="00340B35">
        <w:rPr>
          <w:rFonts w:ascii="MuseoSansCyrl-500" w:eastAsia="Times New Roman" w:hAnsi="MuseoSansCyrl-500" w:cs="Times New Roman"/>
          <w:b/>
          <w:bCs/>
          <w:color w:val="363636"/>
          <w:sz w:val="30"/>
          <w:szCs w:val="30"/>
          <w:lang w:eastAsia="ru-RU"/>
        </w:rPr>
        <w:t>Антикоррупционная политика комитета по здравоохранению Санкт-Петербурга</w:t>
      </w:r>
    </w:p>
    <w:p w:rsidR="00340B35" w:rsidRPr="00340B35" w:rsidRDefault="00340B35" w:rsidP="00340B35">
      <w:pPr>
        <w:shd w:val="clear" w:color="auto" w:fill="FFFFFF"/>
        <w:spacing w:after="150" w:line="240" w:lineRule="auto"/>
        <w:rPr>
          <w:rFonts w:ascii="Arial" w:eastAsia="Times New Roman" w:hAnsi="Arial" w:cs="Arial"/>
          <w:color w:val="5E5E5E"/>
          <w:sz w:val="24"/>
          <w:szCs w:val="24"/>
          <w:lang w:eastAsia="ru-RU"/>
        </w:rPr>
      </w:pPr>
      <w:hyperlink r:id="rId6" w:history="1">
        <w:r w:rsidRPr="00340B35">
          <w:rPr>
            <w:rFonts w:ascii="Arial" w:eastAsia="Times New Roman" w:hAnsi="Arial" w:cs="Arial"/>
            <w:b/>
            <w:bCs/>
            <w:color w:val="3176E9"/>
            <w:sz w:val="24"/>
            <w:szCs w:val="24"/>
            <w:u w:val="single"/>
            <w:lang w:eastAsia="ru-RU"/>
          </w:rPr>
          <w:t>http://www.zdrav.spb.ru/ru/komitet/anticorruption/</w:t>
        </w:r>
      </w:hyperlink>
    </w:p>
    <w:p w:rsidR="00340B35" w:rsidRPr="00340B35" w:rsidRDefault="00340B35" w:rsidP="00340B35">
      <w:pPr>
        <w:shd w:val="clear" w:color="auto" w:fill="FFFFFF"/>
        <w:spacing w:before="150" w:after="150" w:line="450" w:lineRule="atLeast"/>
        <w:outlineLvl w:val="2"/>
        <w:rPr>
          <w:rFonts w:ascii="MuseoSansCyrl-500" w:eastAsia="Times New Roman" w:hAnsi="MuseoSansCyrl-500" w:cs="Times New Roman"/>
          <w:color w:val="363636"/>
          <w:sz w:val="30"/>
          <w:szCs w:val="30"/>
          <w:lang w:eastAsia="ru-RU"/>
        </w:rPr>
      </w:pPr>
      <w:r w:rsidRPr="00340B35">
        <w:rPr>
          <w:rFonts w:ascii="MuseoSansCyrl-500" w:eastAsia="Times New Roman" w:hAnsi="MuseoSansCyrl-500" w:cs="Times New Roman"/>
          <w:b/>
          <w:bCs/>
          <w:color w:val="363636"/>
          <w:sz w:val="30"/>
          <w:szCs w:val="30"/>
          <w:lang w:eastAsia="ru-RU"/>
        </w:rPr>
        <w:t>Специальная линия "Нет коррупции!"</w:t>
      </w:r>
    </w:p>
    <w:p w:rsidR="00340B35" w:rsidRPr="00340B35" w:rsidRDefault="00340B35" w:rsidP="00340B35">
      <w:pPr>
        <w:shd w:val="clear" w:color="auto" w:fill="FFFFFF"/>
        <w:spacing w:after="150" w:line="240" w:lineRule="auto"/>
        <w:rPr>
          <w:rFonts w:ascii="Arial" w:eastAsia="Times New Roman" w:hAnsi="Arial" w:cs="Arial"/>
          <w:color w:val="5E5E5E"/>
          <w:sz w:val="24"/>
          <w:szCs w:val="24"/>
          <w:lang w:eastAsia="ru-RU"/>
        </w:rPr>
      </w:pPr>
      <w:hyperlink r:id="rId7" w:history="1">
        <w:r w:rsidRPr="00340B35">
          <w:rPr>
            <w:rFonts w:ascii="Arial" w:eastAsia="Times New Roman" w:hAnsi="Arial" w:cs="Arial"/>
            <w:b/>
            <w:bCs/>
            <w:color w:val="3176E9"/>
            <w:sz w:val="24"/>
            <w:szCs w:val="24"/>
            <w:u w:val="single"/>
            <w:lang w:eastAsia="ru-RU"/>
          </w:rPr>
          <w:t>http://www.zakon.gov.spb.ru/hot_line/</w:t>
        </w:r>
      </w:hyperlink>
    </w:p>
    <w:p w:rsidR="00F3220F" w:rsidRDefault="00F3220F">
      <w:bookmarkStart w:id="0" w:name="_GoBack"/>
      <w:bookmarkEnd w:id="0"/>
    </w:p>
    <w:sectPr w:rsidR="00F32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or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useoSansCyrl-500">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57"/>
    <w:rsid w:val="00340B35"/>
    <w:rsid w:val="003E7591"/>
    <w:rsid w:val="007F7E5E"/>
    <w:rsid w:val="00DA271F"/>
    <w:rsid w:val="00E20D57"/>
    <w:rsid w:val="00F3220F"/>
    <w:rsid w:val="00F5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19959-1601-4127-9370-F0DCA2F2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2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67829">
      <w:bodyDiv w:val="1"/>
      <w:marLeft w:val="0"/>
      <w:marRight w:val="0"/>
      <w:marTop w:val="0"/>
      <w:marBottom w:val="0"/>
      <w:divBdr>
        <w:top w:val="none" w:sz="0" w:space="0" w:color="auto"/>
        <w:left w:val="none" w:sz="0" w:space="0" w:color="auto"/>
        <w:bottom w:val="none" w:sz="0" w:space="0" w:color="auto"/>
        <w:right w:val="none" w:sz="0" w:space="0" w:color="auto"/>
      </w:divBdr>
    </w:div>
    <w:div w:id="709500393">
      <w:bodyDiv w:val="1"/>
      <w:marLeft w:val="0"/>
      <w:marRight w:val="0"/>
      <w:marTop w:val="0"/>
      <w:marBottom w:val="0"/>
      <w:divBdr>
        <w:top w:val="none" w:sz="0" w:space="0" w:color="auto"/>
        <w:left w:val="none" w:sz="0" w:space="0" w:color="auto"/>
        <w:bottom w:val="none" w:sz="0" w:space="0" w:color="auto"/>
        <w:right w:val="none" w:sz="0" w:space="0" w:color="auto"/>
      </w:divBdr>
    </w:div>
    <w:div w:id="18836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kon.gov.spb.ru/hot_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drav.spb.ru/ru/komitet/anticorruption/" TargetMode="External"/><Relationship Id="rId5" Type="http://schemas.openxmlformats.org/officeDocument/2006/relationships/hyperlink" Target="https://www.gov.spb.ru/gov/protivodejstvie-korrupcii/" TargetMode="External"/><Relationship Id="rId4" Type="http://schemas.openxmlformats.org/officeDocument/2006/relationships/hyperlink" Target="http://gu.site.gov.spb.ru/media/346/docs/10424/additions/%D0%9F%D0%B0%D0%BC%D1%8F%D1%82%D0%BA%D0%B0_%D0%BF%D0%BE_%D0%BF%D1%80%D0%BE%D1%82%D0%B8%D0%B2%D0%BE%D0%B4%D0%B5%D0%B9%D1%81%D1%82%D0%B2%D0%B8%D1%8E_%D0%BA%D0%BE%D1%80%D1%80%D1%83%D0%BF%D1%86%D0%B8%D0%B8.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СиницынаЮлияНиколаевна</dc:creator>
  <cp:keywords/>
  <dc:description/>
  <cp:lastModifiedBy>СиницынаЮлияНиколаевна</cp:lastModifiedBy>
  <cp:revision>7</cp:revision>
  <dcterms:created xsi:type="dcterms:W3CDTF">2022-06-29T12:33:00Z</dcterms:created>
  <dcterms:modified xsi:type="dcterms:W3CDTF">2022-06-30T10:30:00Z</dcterms:modified>
</cp:coreProperties>
</file>